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FE1CF9" w14:textId="36D1D2D3" w:rsidR="00EA760E" w:rsidRDefault="0024768B" w:rsidP="00EA760E">
      <w:pPr>
        <w:rPr>
          <w:rFonts w:ascii="Verdana" w:hAnsi="Verdana"/>
          <w:b/>
          <w:sz w:val="28"/>
          <w:szCs w:val="28"/>
        </w:rPr>
      </w:pPr>
      <w:r>
        <w:rPr>
          <w:rFonts w:ascii="Verdana" w:hAnsi="Verdana"/>
          <w:b/>
          <w:sz w:val="28"/>
          <w:szCs w:val="28"/>
        </w:rPr>
        <w:t xml:space="preserve">                                                                                                              </w:t>
      </w:r>
      <w:r w:rsidR="00375241">
        <w:rPr>
          <w:rFonts w:ascii="Verdana" w:hAnsi="Verdana"/>
          <w:b/>
          <w:sz w:val="28"/>
          <w:szCs w:val="28"/>
        </w:rPr>
        <w:t xml:space="preserve">                                                                                         </w:t>
      </w:r>
      <w:r w:rsidR="00EA760E">
        <w:rPr>
          <w:noProof/>
        </w:rPr>
        <w:drawing>
          <wp:inline distT="0" distB="0" distL="0" distR="0" wp14:anchorId="0FF04C85" wp14:editId="285477CB">
            <wp:extent cx="3440325" cy="923925"/>
            <wp:effectExtent l="0" t="0" r="825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67130" cy="9311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E2158A4" w14:textId="77777777" w:rsidR="00EA213F" w:rsidRPr="00EA213F" w:rsidRDefault="00EA213F" w:rsidP="00EA760E">
      <w:pPr>
        <w:rPr>
          <w:rFonts w:ascii="Verdana" w:hAnsi="Verdana"/>
          <w:b/>
          <w:sz w:val="16"/>
          <w:szCs w:val="16"/>
        </w:rPr>
      </w:pPr>
    </w:p>
    <w:p w14:paraId="76BE426F" w14:textId="77777777" w:rsidR="006764AC" w:rsidRDefault="006764AC" w:rsidP="001C3AD7">
      <w:pPr>
        <w:jc w:val="center"/>
        <w:rPr>
          <w:rFonts w:ascii="Verdana" w:hAnsi="Verdana"/>
          <w:b/>
          <w:sz w:val="28"/>
          <w:szCs w:val="28"/>
        </w:rPr>
      </w:pPr>
    </w:p>
    <w:p w14:paraId="4BA7F1CE" w14:textId="77777777" w:rsidR="006764AC" w:rsidRDefault="006764AC" w:rsidP="001C3AD7">
      <w:pPr>
        <w:jc w:val="center"/>
        <w:rPr>
          <w:rFonts w:ascii="Verdana" w:hAnsi="Verdana"/>
          <w:b/>
          <w:sz w:val="28"/>
          <w:szCs w:val="28"/>
        </w:rPr>
      </w:pPr>
    </w:p>
    <w:p w14:paraId="4C3C7057" w14:textId="7C07A092" w:rsidR="001C3AD7" w:rsidRPr="001C3AD7" w:rsidRDefault="001C3AD7" w:rsidP="001C3AD7">
      <w:pPr>
        <w:jc w:val="center"/>
        <w:rPr>
          <w:rFonts w:ascii="Verdana" w:hAnsi="Verdana"/>
          <w:b/>
          <w:sz w:val="28"/>
          <w:szCs w:val="28"/>
        </w:rPr>
      </w:pPr>
      <w:r w:rsidRPr="001C3AD7">
        <w:rPr>
          <w:rFonts w:ascii="Verdana" w:hAnsi="Verdana"/>
          <w:b/>
          <w:sz w:val="28"/>
          <w:szCs w:val="28"/>
        </w:rPr>
        <w:t>Watford FC’s Community Sports and Education Trust</w:t>
      </w:r>
    </w:p>
    <w:tbl>
      <w:tblPr>
        <w:tblpPr w:leftFromText="180" w:rightFromText="180" w:vertAnchor="text" w:horzAnchor="margin" w:tblpY="4781"/>
        <w:tblW w:w="0" w:type="auto"/>
        <w:tblLayout w:type="fixed"/>
        <w:tblLook w:val="04A0" w:firstRow="1" w:lastRow="0" w:firstColumn="1" w:lastColumn="0" w:noHBand="0" w:noVBand="1"/>
      </w:tblPr>
      <w:tblGrid>
        <w:gridCol w:w="3960"/>
        <w:gridCol w:w="4459"/>
      </w:tblGrid>
      <w:tr w:rsidR="00CF29BB" w14:paraId="0912F866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12D15F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Policy Name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5F6D340" w14:textId="1AC55EAC" w:rsidR="00CF29BB" w:rsidRDefault="001A2FED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Risk Management</w:t>
            </w:r>
          </w:p>
        </w:tc>
      </w:tr>
      <w:tr w:rsidR="00CF29BB" w14:paraId="6A3B2647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7D012BC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Policy Reference Number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46B7A2F" w14:textId="35022576" w:rsidR="00CF29BB" w:rsidRDefault="002D7D53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CR</w:t>
            </w:r>
            <w:r w:rsidR="00B239E3">
              <w:rPr>
                <w:rFonts w:eastAsia="Arial" w:cs="Arial"/>
                <w:sz w:val="24"/>
                <w:szCs w:val="24"/>
              </w:rPr>
              <w:t>-001</w:t>
            </w:r>
          </w:p>
        </w:tc>
      </w:tr>
      <w:tr w:rsidR="00CF29BB" w14:paraId="0AEC913C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7A385D63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Current Version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F6398DF" w14:textId="1E9F2BA3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V</w:t>
            </w:r>
            <w:r w:rsidR="00B239E3">
              <w:rPr>
                <w:rFonts w:eastAsia="Arial" w:cs="Arial"/>
                <w:sz w:val="24"/>
                <w:szCs w:val="24"/>
              </w:rPr>
              <w:t>2.00</w:t>
            </w:r>
          </w:p>
        </w:tc>
      </w:tr>
      <w:tr w:rsidR="00CF29BB" w14:paraId="6F193302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08C65B1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Effective Date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26084D" w14:textId="7A0532A1" w:rsidR="00CF29BB" w:rsidRDefault="00B239E3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November 2020</w:t>
            </w:r>
          </w:p>
        </w:tc>
      </w:tr>
      <w:tr w:rsidR="00CF29BB" w14:paraId="3DAD636B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4C6C70B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Last completed review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48CEB974" w14:textId="66690744" w:rsidR="00CF29BB" w:rsidRDefault="00277258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November 2021</w:t>
            </w:r>
          </w:p>
        </w:tc>
      </w:tr>
      <w:tr w:rsidR="00CF29BB" w14:paraId="18C0D3CE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FCBD644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Frequency of Review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9E7B2BE" w14:textId="0453047B" w:rsidR="00CF29BB" w:rsidRDefault="00277258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>
              <w:rPr>
                <w:rFonts w:eastAsia="Arial" w:cs="Arial"/>
                <w:sz w:val="24"/>
                <w:szCs w:val="24"/>
              </w:rPr>
              <w:t>3</w:t>
            </w:r>
            <w:r w:rsidR="00CF29BB" w:rsidRPr="6A3C287C">
              <w:rPr>
                <w:rFonts w:eastAsia="Arial" w:cs="Arial"/>
                <w:sz w:val="24"/>
                <w:szCs w:val="24"/>
              </w:rPr>
              <w:t xml:space="preserve"> year</w:t>
            </w:r>
            <w:r>
              <w:rPr>
                <w:rFonts w:eastAsia="Arial" w:cs="Arial"/>
                <w:sz w:val="24"/>
                <w:szCs w:val="24"/>
              </w:rPr>
              <w:t>s</w:t>
            </w:r>
          </w:p>
        </w:tc>
      </w:tr>
      <w:tr w:rsidR="00CF29BB" w14:paraId="4E4A24CD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388A42D4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Next Review Date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2B329350" w14:textId="52C292BC" w:rsidR="00CF29BB" w:rsidRDefault="00277258" w:rsidP="006764AC">
            <w:pPr>
              <w:tabs>
                <w:tab w:val="left" w:pos="2424"/>
              </w:tabs>
              <w:spacing w:line="276" w:lineRule="auto"/>
              <w:rPr>
                <w:rFonts w:eastAsia="Arial" w:cs="Arial"/>
                <w:color w:val="FF0000"/>
                <w:sz w:val="24"/>
                <w:szCs w:val="24"/>
              </w:rPr>
            </w:pPr>
            <w:r>
              <w:rPr>
                <w:rFonts w:eastAsia="Arial" w:cs="Arial"/>
                <w:color w:val="FF0000"/>
                <w:sz w:val="24"/>
                <w:szCs w:val="24"/>
              </w:rPr>
              <w:t>November 2024</w:t>
            </w:r>
          </w:p>
        </w:tc>
      </w:tr>
      <w:tr w:rsidR="00CF29BB" w14:paraId="6684F52F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D72A3EB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Drafted By: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020720E0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Compliance and Risk Manager</w:t>
            </w:r>
          </w:p>
        </w:tc>
      </w:tr>
      <w:tr w:rsidR="00CF29BB" w14:paraId="53ACC85B" w14:textId="77777777" w:rsidTr="006764AC">
        <w:tc>
          <w:tcPr>
            <w:tcW w:w="3960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15BEF4AE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 xml:space="preserve">Approved by Board </w:t>
            </w:r>
          </w:p>
        </w:tc>
        <w:tc>
          <w:tcPr>
            <w:tcW w:w="445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</w:tcPr>
          <w:p w14:paraId="59BD7134" w14:textId="77777777" w:rsidR="00CF29BB" w:rsidRDefault="00CF29BB" w:rsidP="006764AC">
            <w:pPr>
              <w:spacing w:line="276" w:lineRule="auto"/>
              <w:rPr>
                <w:rFonts w:eastAsia="Arial" w:cs="Arial"/>
                <w:sz w:val="24"/>
                <w:szCs w:val="24"/>
              </w:rPr>
            </w:pPr>
            <w:r w:rsidRPr="6A3C287C">
              <w:rPr>
                <w:rFonts w:eastAsia="Arial" w:cs="Arial"/>
                <w:sz w:val="24"/>
                <w:szCs w:val="24"/>
              </w:rPr>
              <w:t>March 2022</w:t>
            </w:r>
          </w:p>
        </w:tc>
      </w:tr>
    </w:tbl>
    <w:p w14:paraId="4469AEAE" w14:textId="77777777" w:rsidR="006764AC" w:rsidRDefault="006764AC" w:rsidP="001C3AD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4B1BBA90" w14:textId="77777777" w:rsidR="006764AC" w:rsidRDefault="006764AC" w:rsidP="001C3AD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494A91FD" w14:textId="77777777" w:rsidR="006764AC" w:rsidRDefault="006764AC" w:rsidP="001C3AD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4BBE0E97" w14:textId="77777777" w:rsidR="006764AC" w:rsidRDefault="006764AC" w:rsidP="001C3AD7">
      <w:pPr>
        <w:jc w:val="center"/>
        <w:rPr>
          <w:rFonts w:ascii="Verdana" w:hAnsi="Verdana"/>
          <w:b/>
          <w:bCs/>
          <w:sz w:val="28"/>
          <w:szCs w:val="28"/>
        </w:rPr>
      </w:pPr>
    </w:p>
    <w:p w14:paraId="5DA608F2" w14:textId="4CCF6763" w:rsidR="001C3AD7" w:rsidRDefault="042A3074" w:rsidP="001C3AD7">
      <w:pPr>
        <w:jc w:val="center"/>
        <w:rPr>
          <w:rFonts w:ascii="Verdana" w:hAnsi="Verdana"/>
          <w:b/>
          <w:sz w:val="28"/>
          <w:szCs w:val="28"/>
        </w:rPr>
      </w:pPr>
      <w:r w:rsidRPr="042A3074">
        <w:rPr>
          <w:rFonts w:ascii="Verdana" w:hAnsi="Verdana"/>
          <w:b/>
          <w:bCs/>
          <w:sz w:val="28"/>
          <w:szCs w:val="28"/>
        </w:rPr>
        <w:t>Risk Management Policy</w:t>
      </w:r>
    </w:p>
    <w:p w14:paraId="7FE7D647" w14:textId="268F3D8D" w:rsidR="00EA213F" w:rsidRDefault="00EA213F" w:rsidP="00EA213F">
      <w:pPr>
        <w:rPr>
          <w:rFonts w:ascii="Verdana" w:hAnsi="Verdana"/>
          <w:b/>
          <w:sz w:val="28"/>
          <w:szCs w:val="28"/>
        </w:rPr>
      </w:pPr>
    </w:p>
    <w:p w14:paraId="603912AD" w14:textId="088E697E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5A71B6CD" w14:textId="577EC0DF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34BA0228" w14:textId="5EF17585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703669F9" w14:textId="728C5C8E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0DC7B165" w14:textId="40ED2245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64487BD8" w14:textId="4BC3F1F2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3725C102" w14:textId="3E6A3960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0C27F4F0" w14:textId="73EC6597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4F0239DB" w14:textId="72F365FB" w:rsidR="00CF29BB" w:rsidRDefault="00CF29BB" w:rsidP="00EA213F">
      <w:pPr>
        <w:rPr>
          <w:rFonts w:ascii="Verdana" w:hAnsi="Verdana"/>
          <w:b/>
          <w:sz w:val="28"/>
          <w:szCs w:val="28"/>
        </w:rPr>
      </w:pPr>
    </w:p>
    <w:p w14:paraId="7E9C33B5" w14:textId="4978ABC0" w:rsidR="006764AC" w:rsidRDefault="006764AC" w:rsidP="00EA213F">
      <w:pPr>
        <w:rPr>
          <w:rFonts w:ascii="Verdana" w:hAnsi="Verdana"/>
          <w:b/>
          <w:sz w:val="28"/>
          <w:szCs w:val="28"/>
        </w:rPr>
      </w:pPr>
    </w:p>
    <w:p w14:paraId="3561CE7A" w14:textId="043ADD1D" w:rsidR="006764AC" w:rsidRDefault="006764AC" w:rsidP="00EA213F">
      <w:pPr>
        <w:rPr>
          <w:rFonts w:ascii="Verdana" w:hAnsi="Verdana"/>
          <w:b/>
          <w:sz w:val="28"/>
          <w:szCs w:val="28"/>
        </w:rPr>
      </w:pPr>
    </w:p>
    <w:p w14:paraId="61415D40" w14:textId="23A3578A" w:rsidR="006764AC" w:rsidRDefault="006764AC" w:rsidP="00EA213F">
      <w:pPr>
        <w:rPr>
          <w:rFonts w:ascii="Verdana" w:hAnsi="Verdana"/>
          <w:b/>
          <w:sz w:val="28"/>
          <w:szCs w:val="28"/>
        </w:rPr>
      </w:pPr>
    </w:p>
    <w:p w14:paraId="4C620334" w14:textId="6721B2F6" w:rsidR="006764AC" w:rsidRDefault="006764AC" w:rsidP="00EA213F">
      <w:pPr>
        <w:rPr>
          <w:rFonts w:ascii="Verdana" w:hAnsi="Verdana"/>
          <w:b/>
          <w:sz w:val="28"/>
          <w:szCs w:val="28"/>
        </w:rPr>
      </w:pPr>
    </w:p>
    <w:p w14:paraId="56901836" w14:textId="6055C6A2" w:rsidR="001C3AD7" w:rsidRPr="001C3AD7" w:rsidRDefault="006764AC" w:rsidP="001C3AD7">
      <w:pPr>
        <w:rPr>
          <w:rFonts w:ascii="Verdana" w:hAnsi="Verdana"/>
        </w:rPr>
      </w:pPr>
      <w:r>
        <w:rPr>
          <w:rFonts w:ascii="Verdana" w:hAnsi="Verdana"/>
        </w:rPr>
        <w:lastRenderedPageBreak/>
        <w:t>T</w:t>
      </w:r>
      <w:r w:rsidR="001C3AD7" w:rsidRPr="001C3AD7">
        <w:rPr>
          <w:rFonts w:ascii="Verdana" w:hAnsi="Verdana"/>
        </w:rPr>
        <w:t>his policy sets out Watford F</w:t>
      </w:r>
      <w:r w:rsidR="001C3AD7">
        <w:rPr>
          <w:rFonts w:ascii="Verdana" w:hAnsi="Verdana"/>
        </w:rPr>
        <w:t>C</w:t>
      </w:r>
      <w:r w:rsidR="001C3AD7" w:rsidRPr="001C3AD7">
        <w:rPr>
          <w:rFonts w:ascii="Verdana" w:hAnsi="Verdana"/>
        </w:rPr>
        <w:t>’s Community Sports and Education Trust’s (the ‘Trust’) approach to Risk Management. The Trust is committed to managing risks to eliminate</w:t>
      </w:r>
      <w:r w:rsidR="001C3AD7">
        <w:rPr>
          <w:rFonts w:ascii="Verdana" w:hAnsi="Verdana"/>
        </w:rPr>
        <w:t xml:space="preserve"> or minimise</w:t>
      </w:r>
      <w:r w:rsidR="001C3AD7" w:rsidRPr="001C3AD7">
        <w:rPr>
          <w:rFonts w:ascii="Verdana" w:hAnsi="Verdana"/>
        </w:rPr>
        <w:t xml:space="preserve"> any harm to the Trust, its employees, volunteers, contractors, participants, partners and to the Trust’s facilities, </w:t>
      </w:r>
      <w:proofErr w:type="gramStart"/>
      <w:r w:rsidR="001C3AD7" w:rsidRPr="001C3AD7">
        <w:rPr>
          <w:rFonts w:ascii="Verdana" w:hAnsi="Verdana"/>
        </w:rPr>
        <w:t>services</w:t>
      </w:r>
      <w:proofErr w:type="gramEnd"/>
      <w:r w:rsidR="001C3AD7" w:rsidRPr="001C3AD7">
        <w:rPr>
          <w:rFonts w:ascii="Verdana" w:hAnsi="Verdana"/>
        </w:rPr>
        <w:t xml:space="preserve"> and operations</w:t>
      </w:r>
    </w:p>
    <w:p w14:paraId="70FDB511" w14:textId="38E540C7" w:rsidR="001C3AD7" w:rsidRPr="001C3AD7" w:rsidRDefault="001C3AD7" w:rsidP="001C3AD7">
      <w:pPr>
        <w:rPr>
          <w:rFonts w:ascii="Verdana" w:hAnsi="Verdana"/>
          <w:b/>
        </w:rPr>
      </w:pPr>
      <w:r w:rsidRPr="001C3AD7">
        <w:rPr>
          <w:rFonts w:ascii="Verdana" w:hAnsi="Verdana"/>
          <w:b/>
        </w:rPr>
        <w:t>Risk Management Policy Statement</w:t>
      </w:r>
    </w:p>
    <w:p w14:paraId="50184B21" w14:textId="34C93F37" w:rsidR="001C3AD7" w:rsidRPr="001C3AD7" w:rsidRDefault="001C3AD7" w:rsidP="001C3AD7">
      <w:pPr>
        <w:rPr>
          <w:rFonts w:ascii="Verdana" w:hAnsi="Verdana"/>
        </w:rPr>
      </w:pPr>
      <w:r w:rsidRPr="001C3AD7">
        <w:rPr>
          <w:rFonts w:ascii="Verdana" w:hAnsi="Verdana"/>
        </w:rPr>
        <w:t xml:space="preserve">The Trust will manage risk (risk should be read as including both threats and opportunity), effectively and in a consistent manner in all aspects of its business including planning, delivering, </w:t>
      </w:r>
      <w:proofErr w:type="gramStart"/>
      <w:r w:rsidRPr="001C3AD7">
        <w:rPr>
          <w:rFonts w:ascii="Verdana" w:hAnsi="Verdana"/>
        </w:rPr>
        <w:t>operating</w:t>
      </w:r>
      <w:proofErr w:type="gramEnd"/>
      <w:r w:rsidRPr="001C3AD7">
        <w:rPr>
          <w:rFonts w:ascii="Verdana" w:hAnsi="Verdana"/>
        </w:rPr>
        <w:t xml:space="preserve"> and overseeing programmes and performance. The Trust will develop and encourage a culture of well-informed risk-based decision making. </w:t>
      </w:r>
    </w:p>
    <w:p w14:paraId="4F0717DD" w14:textId="6D3AD99C" w:rsidR="001C3AD7" w:rsidRPr="001C3AD7" w:rsidRDefault="001C3AD7" w:rsidP="001C3AD7">
      <w:pPr>
        <w:rPr>
          <w:rFonts w:ascii="Verdana" w:hAnsi="Verdana"/>
        </w:rPr>
      </w:pPr>
      <w:r w:rsidRPr="001C3AD7">
        <w:rPr>
          <w:rFonts w:ascii="Verdana" w:hAnsi="Verdana"/>
        </w:rPr>
        <w:t>The Trust will:</w:t>
      </w:r>
    </w:p>
    <w:p w14:paraId="5E2B622F" w14:textId="0390B041" w:rsidR="001C3AD7" w:rsidRDefault="001C3AD7" w:rsidP="001C3AD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3AD7">
        <w:rPr>
          <w:rFonts w:ascii="Verdana" w:hAnsi="Verdana"/>
        </w:rPr>
        <w:t xml:space="preserve">Make risk management a part of </w:t>
      </w:r>
      <w:r w:rsidR="00EA760E">
        <w:rPr>
          <w:rFonts w:ascii="Verdana" w:hAnsi="Verdana"/>
        </w:rPr>
        <w:t xml:space="preserve">our </w:t>
      </w:r>
      <w:r w:rsidRPr="001C3AD7">
        <w:rPr>
          <w:rFonts w:ascii="Verdana" w:hAnsi="Verdana"/>
        </w:rPr>
        <w:t xml:space="preserve">strategic and tactical decision making such that whenever there are risks that could significantly affect </w:t>
      </w:r>
      <w:r>
        <w:rPr>
          <w:rFonts w:ascii="Verdana" w:hAnsi="Verdana"/>
        </w:rPr>
        <w:t>Trust</w:t>
      </w:r>
      <w:r w:rsidRPr="001C3AD7">
        <w:rPr>
          <w:rFonts w:ascii="Verdana" w:hAnsi="Verdana"/>
        </w:rPr>
        <w:t xml:space="preserve"> operations, projects and programmes, resources are deployed proportional to these risks</w:t>
      </w:r>
    </w:p>
    <w:p w14:paraId="09A58D91" w14:textId="60C66270" w:rsidR="001C3AD7" w:rsidRDefault="001C3AD7" w:rsidP="001C3AD7">
      <w:pPr>
        <w:pStyle w:val="ListParagraph"/>
        <w:rPr>
          <w:rFonts w:ascii="Verdana" w:hAnsi="Verdana"/>
        </w:rPr>
      </w:pPr>
    </w:p>
    <w:p w14:paraId="0653438E" w14:textId="21AFA6D7" w:rsidR="007F3B05" w:rsidRDefault="30329FA6" w:rsidP="007F3B05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30329FA6">
        <w:rPr>
          <w:rFonts w:ascii="Verdana" w:hAnsi="Verdana"/>
        </w:rPr>
        <w:t xml:space="preserve">Maintain a risk register of all known risks, </w:t>
      </w:r>
      <w:r w:rsidR="007F3B05">
        <w:rPr>
          <w:rFonts w:ascii="Verdana" w:hAnsi="Verdana"/>
        </w:rPr>
        <w:t>and in particular shall consider both internal and external risks</w:t>
      </w:r>
      <w:r w:rsidR="00394D25">
        <w:rPr>
          <w:rFonts w:ascii="Verdana" w:hAnsi="Verdana"/>
        </w:rPr>
        <w:t xml:space="preserve"> including</w:t>
      </w:r>
      <w:r w:rsidR="007F3B05">
        <w:rPr>
          <w:rFonts w:ascii="Verdana" w:hAnsi="Verdana"/>
        </w:rPr>
        <w:t xml:space="preserve"> </w:t>
      </w:r>
      <w:r w:rsidR="00394D25">
        <w:rPr>
          <w:rFonts w:ascii="Verdana" w:hAnsi="Verdana"/>
        </w:rPr>
        <w:t>(but not limited to) those that</w:t>
      </w:r>
      <w:r w:rsidR="006A4790">
        <w:rPr>
          <w:rFonts w:ascii="Verdana" w:hAnsi="Verdana"/>
        </w:rPr>
        <w:t xml:space="preserve"> </w:t>
      </w:r>
      <w:r w:rsidR="007F3B05">
        <w:rPr>
          <w:rFonts w:ascii="Verdana" w:hAnsi="Verdana"/>
        </w:rPr>
        <w:t xml:space="preserve">may impact </w:t>
      </w:r>
      <w:proofErr w:type="gramStart"/>
      <w:r w:rsidR="007F3B05">
        <w:rPr>
          <w:rFonts w:ascii="Verdana" w:hAnsi="Verdana"/>
        </w:rPr>
        <w:t>on;</w:t>
      </w:r>
      <w:proofErr w:type="gramEnd"/>
      <w:r w:rsidR="007F3B05">
        <w:rPr>
          <w:rFonts w:ascii="Verdana" w:hAnsi="Verdana"/>
        </w:rPr>
        <w:t xml:space="preserve"> </w:t>
      </w:r>
    </w:p>
    <w:p w14:paraId="4353428D" w14:textId="77777777" w:rsidR="007F3B05" w:rsidRPr="00F130FC" w:rsidRDefault="007F3B05" w:rsidP="007F3B05">
      <w:pPr>
        <w:pStyle w:val="ListParagraph"/>
        <w:rPr>
          <w:rFonts w:ascii="Verdana" w:hAnsi="Verdana"/>
        </w:rPr>
      </w:pPr>
    </w:p>
    <w:p w14:paraId="14D62C12" w14:textId="2AF5CC87" w:rsidR="007F3B05" w:rsidRPr="0024768B" w:rsidRDefault="000230DD" w:rsidP="0024768B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Governance and </w:t>
      </w:r>
      <w:r w:rsidR="007F3B05">
        <w:rPr>
          <w:rFonts w:ascii="Verdana" w:hAnsi="Verdana"/>
        </w:rPr>
        <w:t>Strategy</w:t>
      </w:r>
    </w:p>
    <w:p w14:paraId="77657C16" w14:textId="21A7CBFA" w:rsidR="007F3B05" w:rsidRDefault="000230DD" w:rsidP="007F3B0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Operatio</w:t>
      </w:r>
      <w:r w:rsidR="006106AF">
        <w:rPr>
          <w:rFonts w:ascii="Verdana" w:hAnsi="Verdana"/>
        </w:rPr>
        <w:t xml:space="preserve">ns including </w:t>
      </w:r>
      <w:r w:rsidR="007F3B05">
        <w:rPr>
          <w:rFonts w:ascii="Verdana" w:hAnsi="Verdana"/>
        </w:rPr>
        <w:t xml:space="preserve">Projects, </w:t>
      </w:r>
      <w:proofErr w:type="gramStart"/>
      <w:r w:rsidR="007F3B05">
        <w:rPr>
          <w:rFonts w:ascii="Verdana" w:hAnsi="Verdana"/>
        </w:rPr>
        <w:t>programmes</w:t>
      </w:r>
      <w:proofErr w:type="gramEnd"/>
      <w:r w:rsidR="007F3B05">
        <w:rPr>
          <w:rFonts w:ascii="Verdana" w:hAnsi="Verdana"/>
        </w:rPr>
        <w:t xml:space="preserve"> and services</w:t>
      </w:r>
    </w:p>
    <w:p w14:paraId="0B565820" w14:textId="77777777" w:rsidR="007F3B05" w:rsidRDefault="007F3B05" w:rsidP="007F3B0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Finance and financial resources</w:t>
      </w:r>
    </w:p>
    <w:p w14:paraId="0A7F681E" w14:textId="456BEBFC" w:rsidR="007F3B05" w:rsidRDefault="006106AF" w:rsidP="007F3B0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People</w:t>
      </w:r>
    </w:p>
    <w:p w14:paraId="584907EC" w14:textId="7346D1E4" w:rsidR="00F64404" w:rsidRDefault="00F64404" w:rsidP="007F3B05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Facilities</w:t>
      </w:r>
    </w:p>
    <w:p w14:paraId="7EEF05E5" w14:textId="77777777" w:rsidR="004F4421" w:rsidRDefault="004F4421" w:rsidP="004F4421">
      <w:pPr>
        <w:pStyle w:val="ListParagraph"/>
        <w:ind w:left="1080"/>
        <w:rPr>
          <w:rFonts w:ascii="Verdana" w:hAnsi="Verdana"/>
        </w:rPr>
      </w:pPr>
    </w:p>
    <w:p w14:paraId="663A8827" w14:textId="6C8C8769" w:rsidR="007F3B05" w:rsidRPr="004F4421" w:rsidRDefault="00557D63" w:rsidP="004F4421">
      <w:pPr>
        <w:rPr>
          <w:rFonts w:ascii="Verdana" w:hAnsi="Verdana"/>
        </w:rPr>
      </w:pPr>
      <w:r>
        <w:rPr>
          <w:rFonts w:ascii="Verdana" w:hAnsi="Verdana"/>
        </w:rPr>
        <w:t>For each of our risks we shall assess</w:t>
      </w:r>
      <w:r w:rsidR="006106AF" w:rsidRPr="004F4421">
        <w:rPr>
          <w:rFonts w:ascii="Verdana" w:hAnsi="Verdana"/>
        </w:rPr>
        <w:t xml:space="preserve"> </w:t>
      </w:r>
      <w:r w:rsidR="004F4421">
        <w:rPr>
          <w:rFonts w:ascii="Verdana" w:hAnsi="Verdana"/>
        </w:rPr>
        <w:t>the impact of the risk in terms of</w:t>
      </w:r>
      <w:r w:rsidR="0024768B">
        <w:rPr>
          <w:rFonts w:ascii="Verdana" w:hAnsi="Verdana"/>
        </w:rPr>
        <w:t xml:space="preserve"> our legal obligations </w:t>
      </w:r>
      <w:proofErr w:type="gramStart"/>
      <w:r w:rsidR="0024768B">
        <w:rPr>
          <w:rFonts w:ascii="Verdana" w:hAnsi="Verdana"/>
        </w:rPr>
        <w:t>under</w:t>
      </w:r>
      <w:r w:rsidR="00724BA0">
        <w:rPr>
          <w:rFonts w:ascii="Verdana" w:hAnsi="Verdana"/>
        </w:rPr>
        <w:t>;</w:t>
      </w:r>
      <w:proofErr w:type="gramEnd"/>
    </w:p>
    <w:p w14:paraId="4176A705" w14:textId="348BE1DC" w:rsidR="004F4421" w:rsidRDefault="004F4421" w:rsidP="0098506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Safeguarding</w:t>
      </w:r>
    </w:p>
    <w:p w14:paraId="756490B5" w14:textId="52BB2C4F" w:rsidR="00F8560C" w:rsidRDefault="00F8560C" w:rsidP="00985063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Health and </w:t>
      </w:r>
      <w:r w:rsidR="00796A3F">
        <w:rPr>
          <w:rFonts w:ascii="Verdana" w:hAnsi="Verdana"/>
        </w:rPr>
        <w:t>S</w:t>
      </w:r>
      <w:r>
        <w:rPr>
          <w:rFonts w:ascii="Verdana" w:hAnsi="Verdana"/>
        </w:rPr>
        <w:t>afety</w:t>
      </w:r>
    </w:p>
    <w:p w14:paraId="2C00B202" w14:textId="585F0614" w:rsidR="00AD00A7" w:rsidRDefault="00AD00A7" w:rsidP="004F4421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4F4421">
        <w:rPr>
          <w:rFonts w:ascii="Verdana" w:hAnsi="Verdana"/>
        </w:rPr>
        <w:t xml:space="preserve">Data </w:t>
      </w:r>
      <w:r w:rsidR="004F4421">
        <w:rPr>
          <w:rFonts w:ascii="Verdana" w:hAnsi="Verdana"/>
        </w:rPr>
        <w:t>P</w:t>
      </w:r>
      <w:r w:rsidRPr="004F4421">
        <w:rPr>
          <w:rFonts w:ascii="Verdana" w:hAnsi="Verdana"/>
        </w:rPr>
        <w:t>rotection</w:t>
      </w:r>
    </w:p>
    <w:p w14:paraId="5079127E" w14:textId="65CD155D" w:rsidR="00F8560C" w:rsidRDefault="00F8560C" w:rsidP="004F4421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Employment law</w:t>
      </w:r>
    </w:p>
    <w:p w14:paraId="07B98CCC" w14:textId="6CA7F0D4" w:rsidR="00F8560C" w:rsidRDefault="00F8560C" w:rsidP="004F4421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Equality and Diversity</w:t>
      </w:r>
    </w:p>
    <w:p w14:paraId="01CEE111" w14:textId="17F8414C" w:rsidR="00F8560C" w:rsidRDefault="005074FE" w:rsidP="004F4421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 xml:space="preserve">Public </w:t>
      </w:r>
      <w:r w:rsidR="00796A3F">
        <w:rPr>
          <w:rFonts w:ascii="Verdana" w:hAnsi="Verdana"/>
        </w:rPr>
        <w:t>L</w:t>
      </w:r>
      <w:r>
        <w:rPr>
          <w:rFonts w:ascii="Verdana" w:hAnsi="Verdana"/>
        </w:rPr>
        <w:t>iability</w:t>
      </w:r>
    </w:p>
    <w:p w14:paraId="3B4F449E" w14:textId="64ED79C3" w:rsidR="005074FE" w:rsidRDefault="00CE0BDD" w:rsidP="005074FE">
      <w:pPr>
        <w:rPr>
          <w:rFonts w:ascii="Verdana" w:hAnsi="Verdana"/>
        </w:rPr>
      </w:pPr>
      <w:r>
        <w:rPr>
          <w:rFonts w:ascii="Verdana" w:hAnsi="Verdana"/>
        </w:rPr>
        <w:t xml:space="preserve">When assessing </w:t>
      </w:r>
      <w:proofErr w:type="gramStart"/>
      <w:r>
        <w:rPr>
          <w:rFonts w:ascii="Verdana" w:hAnsi="Verdana"/>
        </w:rPr>
        <w:t>risk</w:t>
      </w:r>
      <w:proofErr w:type="gramEnd"/>
      <w:r>
        <w:rPr>
          <w:rFonts w:ascii="Verdana" w:hAnsi="Verdana"/>
        </w:rPr>
        <w:t xml:space="preserve"> w</w:t>
      </w:r>
      <w:r w:rsidR="005074FE">
        <w:rPr>
          <w:rFonts w:ascii="Verdana" w:hAnsi="Verdana"/>
        </w:rPr>
        <w:t>e shall also consider factors such as</w:t>
      </w:r>
      <w:r w:rsidR="00724BA0">
        <w:rPr>
          <w:rFonts w:ascii="Verdana" w:hAnsi="Verdana"/>
        </w:rPr>
        <w:t>;</w:t>
      </w:r>
    </w:p>
    <w:p w14:paraId="4D293877" w14:textId="66E4DCDF" w:rsidR="00724BA0" w:rsidRPr="005C0550" w:rsidRDefault="00724BA0" w:rsidP="005C0550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5C0550">
        <w:rPr>
          <w:rFonts w:ascii="Verdana" w:hAnsi="Verdana"/>
        </w:rPr>
        <w:t>Reputation and PR</w:t>
      </w:r>
    </w:p>
    <w:p w14:paraId="74FA4C0C" w14:textId="4EB0C83C" w:rsidR="00724BA0" w:rsidRPr="005C0550" w:rsidRDefault="00724BA0" w:rsidP="005C0550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5C0550">
        <w:rPr>
          <w:rFonts w:ascii="Verdana" w:hAnsi="Verdana"/>
        </w:rPr>
        <w:t>Integrity</w:t>
      </w:r>
    </w:p>
    <w:p w14:paraId="7BD356F7" w14:textId="1DDFECCA" w:rsidR="00724BA0" w:rsidRPr="005C0550" w:rsidRDefault="00796A3F" w:rsidP="005C0550">
      <w:pPr>
        <w:pStyle w:val="ListParagraph"/>
        <w:numPr>
          <w:ilvl w:val="0"/>
          <w:numId w:val="6"/>
        </w:numPr>
        <w:rPr>
          <w:rFonts w:ascii="Verdana" w:hAnsi="Verdana"/>
        </w:rPr>
      </w:pPr>
      <w:r>
        <w:rPr>
          <w:rFonts w:ascii="Verdana" w:hAnsi="Verdana"/>
        </w:rPr>
        <w:t>S</w:t>
      </w:r>
      <w:r w:rsidR="005C0550" w:rsidRPr="005C0550">
        <w:rPr>
          <w:rFonts w:ascii="Verdana" w:hAnsi="Verdana"/>
        </w:rPr>
        <w:t>o</w:t>
      </w:r>
      <w:r w:rsidR="00724BA0" w:rsidRPr="005C0550">
        <w:rPr>
          <w:rFonts w:ascii="Verdana" w:hAnsi="Verdana"/>
        </w:rPr>
        <w:t>cial/</w:t>
      </w:r>
      <w:r>
        <w:rPr>
          <w:rFonts w:ascii="Verdana" w:hAnsi="Verdana"/>
        </w:rPr>
        <w:t>C</w:t>
      </w:r>
      <w:r w:rsidR="00724BA0" w:rsidRPr="005C0550">
        <w:rPr>
          <w:rFonts w:ascii="Verdana" w:hAnsi="Verdana"/>
        </w:rPr>
        <w:t>ommunity impact</w:t>
      </w:r>
    </w:p>
    <w:p w14:paraId="6294AA11" w14:textId="5873AF85" w:rsidR="00724BA0" w:rsidRPr="005C0550" w:rsidRDefault="00724BA0" w:rsidP="005C0550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5C0550">
        <w:rPr>
          <w:rFonts w:ascii="Verdana" w:hAnsi="Verdana"/>
        </w:rPr>
        <w:t>Inclusion</w:t>
      </w:r>
    </w:p>
    <w:p w14:paraId="69216485" w14:textId="50CE31E0" w:rsidR="00724BA0" w:rsidRPr="005C0550" w:rsidRDefault="00724BA0" w:rsidP="005C0550">
      <w:pPr>
        <w:pStyle w:val="ListParagraph"/>
        <w:numPr>
          <w:ilvl w:val="0"/>
          <w:numId w:val="6"/>
        </w:numPr>
        <w:rPr>
          <w:rFonts w:ascii="Verdana" w:hAnsi="Verdana"/>
        </w:rPr>
      </w:pPr>
      <w:r w:rsidRPr="005C0550">
        <w:rPr>
          <w:rFonts w:ascii="Verdana" w:hAnsi="Verdana"/>
        </w:rPr>
        <w:t>External factors and impacts</w:t>
      </w:r>
    </w:p>
    <w:p w14:paraId="460F89B5" w14:textId="6529B25B" w:rsidR="00B91C6C" w:rsidRDefault="009F1283" w:rsidP="00B91C6C">
      <w:pPr>
        <w:pStyle w:val="ListParagraph"/>
        <w:rPr>
          <w:rFonts w:ascii="Verdana" w:hAnsi="Verdana"/>
        </w:rPr>
      </w:pPr>
      <w:r>
        <w:rPr>
          <w:rFonts w:ascii="Verdana" w:hAnsi="Verdana"/>
        </w:rPr>
        <w:t xml:space="preserve"> </w:t>
      </w:r>
      <w:r w:rsidR="005F577D">
        <w:rPr>
          <w:rFonts w:ascii="Verdana" w:hAnsi="Verdana"/>
        </w:rPr>
        <w:t xml:space="preserve">    </w:t>
      </w:r>
    </w:p>
    <w:p w14:paraId="5D0AA8EE" w14:textId="14135E26" w:rsidR="007D7AB5" w:rsidRPr="0064198D" w:rsidRDefault="30329FA6" w:rsidP="00B91C6C">
      <w:pPr>
        <w:pStyle w:val="ListParagraph"/>
        <w:numPr>
          <w:ilvl w:val="0"/>
          <w:numId w:val="4"/>
        </w:numPr>
        <w:rPr>
          <w:rFonts w:ascii="Verdana" w:hAnsi="Verdana"/>
        </w:rPr>
      </w:pPr>
      <w:r w:rsidRPr="0064198D">
        <w:rPr>
          <w:rFonts w:ascii="Verdana" w:hAnsi="Verdana"/>
        </w:rPr>
        <w:t xml:space="preserve">Senior Managers will agree appropriate actions, assign responsible </w:t>
      </w:r>
      <w:proofErr w:type="gramStart"/>
      <w:r w:rsidRPr="0064198D">
        <w:rPr>
          <w:rFonts w:ascii="Verdana" w:hAnsi="Verdana"/>
        </w:rPr>
        <w:t>owners</w:t>
      </w:r>
      <w:proofErr w:type="gramEnd"/>
      <w:r w:rsidRPr="0064198D">
        <w:rPr>
          <w:rFonts w:ascii="Verdana" w:hAnsi="Verdana"/>
        </w:rPr>
        <w:t xml:space="preserve"> and monitor progress to rectify or eliminate risks </w:t>
      </w:r>
      <w:r w:rsidR="007E2CA5" w:rsidRPr="0064198D">
        <w:rPr>
          <w:rFonts w:ascii="Verdana" w:hAnsi="Verdana"/>
        </w:rPr>
        <w:t>by</w:t>
      </w:r>
      <w:r w:rsidR="002B7F35" w:rsidRPr="0064198D">
        <w:rPr>
          <w:rFonts w:ascii="Verdana" w:hAnsi="Verdana"/>
        </w:rPr>
        <w:t xml:space="preserve"> r</w:t>
      </w:r>
      <w:r w:rsidR="00EA760E" w:rsidRPr="0064198D">
        <w:rPr>
          <w:rFonts w:ascii="Verdana" w:hAnsi="Verdana"/>
        </w:rPr>
        <w:t>egularly review</w:t>
      </w:r>
      <w:r w:rsidR="002B7F35" w:rsidRPr="0064198D">
        <w:rPr>
          <w:rFonts w:ascii="Verdana" w:hAnsi="Verdana"/>
        </w:rPr>
        <w:t>ing</w:t>
      </w:r>
      <w:r w:rsidR="00EA760E" w:rsidRPr="0064198D">
        <w:rPr>
          <w:rFonts w:ascii="Verdana" w:hAnsi="Verdana"/>
        </w:rPr>
        <w:t xml:space="preserve"> </w:t>
      </w:r>
      <w:r w:rsidR="00EA760E" w:rsidRPr="0064198D">
        <w:rPr>
          <w:rFonts w:ascii="Verdana" w:hAnsi="Verdana"/>
        </w:rPr>
        <w:lastRenderedPageBreak/>
        <w:t>and updat</w:t>
      </w:r>
      <w:r w:rsidR="002B7F35" w:rsidRPr="0064198D">
        <w:rPr>
          <w:rFonts w:ascii="Verdana" w:hAnsi="Verdana"/>
        </w:rPr>
        <w:t>ing</w:t>
      </w:r>
      <w:r w:rsidR="00EA760E" w:rsidRPr="0064198D">
        <w:rPr>
          <w:rFonts w:ascii="Verdana" w:hAnsi="Verdana"/>
        </w:rPr>
        <w:t xml:space="preserve"> risks facing the business and how they are being mitigated, and ensure that these are reported to Trustees and Watford Football Club whenever appropriate</w:t>
      </w:r>
    </w:p>
    <w:p w14:paraId="2B8DD8F1" w14:textId="77777777" w:rsidR="007D7AB5" w:rsidRPr="007D7AB5" w:rsidRDefault="007D7AB5" w:rsidP="007D7AB5">
      <w:pPr>
        <w:pStyle w:val="ListParagraph"/>
        <w:spacing w:after="0" w:line="240" w:lineRule="auto"/>
        <w:ind w:left="1080"/>
        <w:rPr>
          <w:rFonts w:ascii="Verdana" w:hAnsi="Verdana"/>
        </w:rPr>
      </w:pPr>
    </w:p>
    <w:p w14:paraId="2C098060" w14:textId="08C05173" w:rsidR="001C3AD7" w:rsidRDefault="00EA760E" w:rsidP="007D7AB5">
      <w:pPr>
        <w:pStyle w:val="ListParagraph"/>
        <w:numPr>
          <w:ilvl w:val="0"/>
          <w:numId w:val="1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Develop and m</w:t>
      </w:r>
      <w:r w:rsidR="001C3AD7" w:rsidRPr="001C3AD7">
        <w:rPr>
          <w:rFonts w:ascii="Verdana" w:hAnsi="Verdana"/>
        </w:rPr>
        <w:t>aintain a current risk appetite and tolerance statement</w:t>
      </w:r>
      <w:r w:rsidR="001C3AD7">
        <w:rPr>
          <w:rFonts w:ascii="Verdana" w:hAnsi="Verdana"/>
        </w:rPr>
        <w:t xml:space="preserve"> </w:t>
      </w:r>
      <w:proofErr w:type="gramStart"/>
      <w:r w:rsidR="001C3AD7">
        <w:rPr>
          <w:rFonts w:ascii="Verdana" w:hAnsi="Verdana"/>
        </w:rPr>
        <w:t xml:space="preserve">and </w:t>
      </w:r>
      <w:r w:rsidR="001C3AD7" w:rsidRPr="001C3AD7">
        <w:rPr>
          <w:rFonts w:ascii="Verdana" w:hAnsi="Verdana"/>
        </w:rPr>
        <w:t xml:space="preserve"> communicate</w:t>
      </w:r>
      <w:proofErr w:type="gramEnd"/>
      <w:r w:rsidR="001C3AD7" w:rsidRPr="001C3AD7">
        <w:rPr>
          <w:rFonts w:ascii="Verdana" w:hAnsi="Verdana"/>
        </w:rPr>
        <w:t xml:space="preserve"> this risk statement across the </w:t>
      </w:r>
      <w:r w:rsidR="001C3AD7">
        <w:rPr>
          <w:rFonts w:ascii="Verdana" w:hAnsi="Verdana"/>
        </w:rPr>
        <w:t>Trust</w:t>
      </w:r>
      <w:r w:rsidR="001C3AD7" w:rsidRPr="001C3AD7">
        <w:rPr>
          <w:rFonts w:ascii="Verdana" w:hAnsi="Verdana"/>
        </w:rPr>
        <w:t>, and make decisions about operations and projects consistent with that statement</w:t>
      </w:r>
    </w:p>
    <w:p w14:paraId="068E666C" w14:textId="77777777" w:rsidR="001C3AD7" w:rsidRPr="001C3AD7" w:rsidRDefault="001C3AD7" w:rsidP="001C3AD7">
      <w:pPr>
        <w:pStyle w:val="ListParagraph"/>
        <w:rPr>
          <w:rFonts w:ascii="Verdana" w:hAnsi="Verdana"/>
        </w:rPr>
      </w:pPr>
    </w:p>
    <w:p w14:paraId="42397212" w14:textId="10F217CE" w:rsidR="00EA760E" w:rsidRDefault="001C3AD7" w:rsidP="00EA760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A760E">
        <w:rPr>
          <w:rFonts w:ascii="Verdana" w:hAnsi="Verdana"/>
        </w:rPr>
        <w:t xml:space="preserve">Establish and maintain </w:t>
      </w:r>
      <w:r w:rsidR="00EA760E">
        <w:rPr>
          <w:rFonts w:ascii="Verdana" w:hAnsi="Verdana"/>
        </w:rPr>
        <w:t xml:space="preserve">policies, </w:t>
      </w:r>
      <w:r w:rsidRPr="00EA760E">
        <w:rPr>
          <w:rFonts w:ascii="Verdana" w:hAnsi="Verdana"/>
        </w:rPr>
        <w:t xml:space="preserve">procedures, </w:t>
      </w:r>
      <w:proofErr w:type="gramStart"/>
      <w:r w:rsidRPr="00EA760E">
        <w:rPr>
          <w:rFonts w:ascii="Verdana" w:hAnsi="Verdana"/>
        </w:rPr>
        <w:t>practices</w:t>
      </w:r>
      <w:proofErr w:type="gramEnd"/>
      <w:r w:rsidRPr="00EA760E">
        <w:rPr>
          <w:rFonts w:ascii="Verdana" w:hAnsi="Verdana"/>
        </w:rPr>
        <w:t xml:space="preserve"> and processes so as to ensure compliance with applicable standards and contractual </w:t>
      </w:r>
      <w:r w:rsidR="00EA760E" w:rsidRPr="00EA760E">
        <w:rPr>
          <w:rFonts w:ascii="Verdana" w:hAnsi="Verdana"/>
        </w:rPr>
        <w:t xml:space="preserve">and legislative </w:t>
      </w:r>
      <w:r w:rsidRPr="00EA760E">
        <w:rPr>
          <w:rFonts w:ascii="Verdana" w:hAnsi="Verdana"/>
        </w:rPr>
        <w:t>provisions,</w:t>
      </w:r>
    </w:p>
    <w:p w14:paraId="21DBFC6E" w14:textId="77777777" w:rsidR="00EA760E" w:rsidRPr="00EA760E" w:rsidRDefault="00EA760E" w:rsidP="00EA760E">
      <w:pPr>
        <w:pStyle w:val="ListParagraph"/>
        <w:rPr>
          <w:rFonts w:ascii="Verdana" w:hAnsi="Verdana"/>
        </w:rPr>
      </w:pPr>
    </w:p>
    <w:p w14:paraId="2041D3FC" w14:textId="7CBEB557" w:rsidR="001C3AD7" w:rsidRPr="00EA760E" w:rsidRDefault="001C3AD7" w:rsidP="00EA760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A760E">
        <w:rPr>
          <w:rFonts w:ascii="Verdana" w:hAnsi="Verdana"/>
        </w:rPr>
        <w:t xml:space="preserve">Provide clearly defined and documented accountabilities for risk management, with risks being managed at the lowest level at which the manager has the authority, </w:t>
      </w:r>
      <w:proofErr w:type="gramStart"/>
      <w:r w:rsidRPr="00EA760E">
        <w:rPr>
          <w:rFonts w:ascii="Verdana" w:hAnsi="Verdana"/>
        </w:rPr>
        <w:t>responsibility</w:t>
      </w:r>
      <w:proofErr w:type="gramEnd"/>
      <w:r w:rsidRPr="00EA760E">
        <w:rPr>
          <w:rFonts w:ascii="Verdana" w:hAnsi="Verdana"/>
        </w:rPr>
        <w:t xml:space="preserve"> and resources to take effective action.</w:t>
      </w:r>
    </w:p>
    <w:p w14:paraId="18826277" w14:textId="77777777" w:rsidR="00EA760E" w:rsidRPr="00EA760E" w:rsidRDefault="00EA760E" w:rsidP="00EA760E">
      <w:pPr>
        <w:pStyle w:val="ListParagraph"/>
        <w:rPr>
          <w:rFonts w:ascii="Verdana" w:hAnsi="Verdana"/>
        </w:rPr>
      </w:pPr>
    </w:p>
    <w:p w14:paraId="7255490E" w14:textId="13185F0D" w:rsidR="00EA760E" w:rsidRDefault="001C3AD7" w:rsidP="00EA760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A760E">
        <w:rPr>
          <w:rFonts w:ascii="Verdana" w:hAnsi="Verdana"/>
        </w:rPr>
        <w:t xml:space="preserve">Ensure risks are managed in an integrated way across all levels of the </w:t>
      </w:r>
      <w:r w:rsidR="00EA760E">
        <w:rPr>
          <w:rFonts w:ascii="Verdana" w:hAnsi="Verdana"/>
        </w:rPr>
        <w:t>Trust</w:t>
      </w:r>
      <w:r w:rsidRPr="00EA760E">
        <w:rPr>
          <w:rFonts w:ascii="Verdana" w:hAnsi="Verdana"/>
        </w:rPr>
        <w:t xml:space="preserve"> covering the key interdependencies </w:t>
      </w:r>
      <w:r w:rsidR="00EA760E">
        <w:rPr>
          <w:rFonts w:ascii="Verdana" w:hAnsi="Verdana"/>
        </w:rPr>
        <w:t>of</w:t>
      </w:r>
      <w:r w:rsidRPr="00EA760E">
        <w:rPr>
          <w:rFonts w:ascii="Verdana" w:hAnsi="Verdana"/>
        </w:rPr>
        <w:t xml:space="preserve"> strategic, programme, </w:t>
      </w:r>
      <w:proofErr w:type="gramStart"/>
      <w:r w:rsidRPr="00EA760E">
        <w:rPr>
          <w:rFonts w:ascii="Verdana" w:hAnsi="Verdana"/>
        </w:rPr>
        <w:t>project</w:t>
      </w:r>
      <w:proofErr w:type="gramEnd"/>
      <w:r w:rsidRPr="00EA760E">
        <w:rPr>
          <w:rFonts w:ascii="Verdana" w:hAnsi="Verdana"/>
        </w:rPr>
        <w:t xml:space="preserve"> and operational risk.</w:t>
      </w:r>
    </w:p>
    <w:p w14:paraId="7B349DF4" w14:textId="77777777" w:rsidR="00EA760E" w:rsidRPr="00EA760E" w:rsidRDefault="00EA760E" w:rsidP="00EA760E">
      <w:pPr>
        <w:pStyle w:val="ListParagraph"/>
        <w:rPr>
          <w:rFonts w:ascii="Verdana" w:hAnsi="Verdana"/>
        </w:rPr>
      </w:pPr>
    </w:p>
    <w:p w14:paraId="5490D1B2" w14:textId="0D493481" w:rsidR="001C3AD7" w:rsidRPr="00EA760E" w:rsidRDefault="001C3AD7" w:rsidP="00EA760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A760E">
        <w:rPr>
          <w:rFonts w:ascii="Verdana" w:hAnsi="Verdana"/>
        </w:rPr>
        <w:t>Develop and maintain a core competency in risk management and ha</w:t>
      </w:r>
      <w:r w:rsidR="00EA760E">
        <w:rPr>
          <w:rFonts w:ascii="Verdana" w:hAnsi="Verdana"/>
        </w:rPr>
        <w:t>ve</w:t>
      </w:r>
      <w:r w:rsidRPr="00EA760E">
        <w:rPr>
          <w:rFonts w:ascii="Verdana" w:hAnsi="Verdana"/>
        </w:rPr>
        <w:t xml:space="preserve"> a robust continuous improvement and learning culture</w:t>
      </w:r>
    </w:p>
    <w:p w14:paraId="1C91501B" w14:textId="77777777" w:rsidR="00EA760E" w:rsidRDefault="00EA760E" w:rsidP="00EA760E">
      <w:pPr>
        <w:pStyle w:val="ListParagraph"/>
        <w:rPr>
          <w:rFonts w:ascii="Verdana" w:hAnsi="Verdana"/>
        </w:rPr>
      </w:pPr>
    </w:p>
    <w:p w14:paraId="14BFF4C8" w14:textId="5438A7FC" w:rsidR="001C3AD7" w:rsidRPr="00EA760E" w:rsidRDefault="001C3AD7" w:rsidP="00EA760E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EA760E">
        <w:rPr>
          <w:rFonts w:ascii="Verdana" w:hAnsi="Verdana"/>
        </w:rPr>
        <w:t xml:space="preserve">Ensure effective assurance arrangements are in place to monitor the effectiveness of the risk management processes on a routine basis. </w:t>
      </w:r>
    </w:p>
    <w:p w14:paraId="231E5049" w14:textId="55891457" w:rsidR="001C3AD7" w:rsidRPr="001C3AD7" w:rsidRDefault="001C3AD7" w:rsidP="00EA760E">
      <w:pPr>
        <w:pStyle w:val="ListParagraph"/>
        <w:rPr>
          <w:rFonts w:ascii="Verdana" w:hAnsi="Verdana"/>
        </w:rPr>
      </w:pPr>
    </w:p>
    <w:p w14:paraId="5CFAB9C3" w14:textId="2EA359F7" w:rsidR="001C3AD7" w:rsidRPr="001C3AD7" w:rsidRDefault="001C3AD7" w:rsidP="001C3AD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3AD7">
        <w:rPr>
          <w:rFonts w:ascii="Verdana" w:hAnsi="Verdana"/>
        </w:rPr>
        <w:t xml:space="preserve">Incorporates credible risks in </w:t>
      </w:r>
      <w:r w:rsidR="00EA760E">
        <w:rPr>
          <w:rFonts w:ascii="Verdana" w:hAnsi="Verdana"/>
        </w:rPr>
        <w:t>our Strategic</w:t>
      </w:r>
      <w:r w:rsidRPr="001C3AD7">
        <w:rPr>
          <w:rFonts w:ascii="Verdana" w:hAnsi="Verdana"/>
        </w:rPr>
        <w:t xml:space="preserve"> Plan and all significant planning efforts.</w:t>
      </w:r>
    </w:p>
    <w:p w14:paraId="19B5655A" w14:textId="059BD9D4" w:rsidR="001C3AD7" w:rsidRPr="001C3AD7" w:rsidRDefault="001C3AD7" w:rsidP="00EA760E">
      <w:pPr>
        <w:pStyle w:val="ListParagraph"/>
        <w:rPr>
          <w:rFonts w:ascii="Verdana" w:hAnsi="Verdana"/>
        </w:rPr>
      </w:pPr>
    </w:p>
    <w:p w14:paraId="05C2069D" w14:textId="5EFDFCAB" w:rsidR="00695504" w:rsidRPr="001C3AD7" w:rsidRDefault="001C3AD7" w:rsidP="001C3AD7">
      <w:pPr>
        <w:pStyle w:val="ListParagraph"/>
        <w:numPr>
          <w:ilvl w:val="0"/>
          <w:numId w:val="1"/>
        </w:numPr>
        <w:rPr>
          <w:rFonts w:ascii="Verdana" w:hAnsi="Verdana"/>
        </w:rPr>
      </w:pPr>
      <w:r w:rsidRPr="001C3AD7">
        <w:rPr>
          <w:rFonts w:ascii="Verdana" w:hAnsi="Verdana"/>
        </w:rPr>
        <w:t>This policy and the integral risk appetite and tolerance statement will be reviewed annually.</w:t>
      </w:r>
    </w:p>
    <w:sectPr w:rsidR="00695504" w:rsidRPr="001C3A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B78C8"/>
    <w:multiLevelType w:val="hybridMultilevel"/>
    <w:tmpl w:val="E35008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72A00"/>
    <w:multiLevelType w:val="hybridMultilevel"/>
    <w:tmpl w:val="273A292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5C1C74"/>
    <w:multiLevelType w:val="hybridMultilevel"/>
    <w:tmpl w:val="8EF824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CDB3743"/>
    <w:multiLevelType w:val="hybridMultilevel"/>
    <w:tmpl w:val="94D8BF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6115A7"/>
    <w:multiLevelType w:val="hybridMultilevel"/>
    <w:tmpl w:val="AEEC294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68E73FBE"/>
    <w:multiLevelType w:val="hybridMultilevel"/>
    <w:tmpl w:val="4EF09B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3AD7"/>
    <w:rsid w:val="000230DD"/>
    <w:rsid w:val="00056A79"/>
    <w:rsid w:val="000C7C44"/>
    <w:rsid w:val="000E1AA4"/>
    <w:rsid w:val="000E77BD"/>
    <w:rsid w:val="00137410"/>
    <w:rsid w:val="001A2FED"/>
    <w:rsid w:val="001C3AD7"/>
    <w:rsid w:val="0024768B"/>
    <w:rsid w:val="00277258"/>
    <w:rsid w:val="002B7210"/>
    <w:rsid w:val="002B7F35"/>
    <w:rsid w:val="002C6D7E"/>
    <w:rsid w:val="002D7D53"/>
    <w:rsid w:val="003000E5"/>
    <w:rsid w:val="0030769C"/>
    <w:rsid w:val="00375241"/>
    <w:rsid w:val="00394D25"/>
    <w:rsid w:val="003A3CC0"/>
    <w:rsid w:val="004A74FD"/>
    <w:rsid w:val="004F4421"/>
    <w:rsid w:val="005074FE"/>
    <w:rsid w:val="00533FD1"/>
    <w:rsid w:val="00557D63"/>
    <w:rsid w:val="0056089B"/>
    <w:rsid w:val="005C0550"/>
    <w:rsid w:val="005F3CB2"/>
    <w:rsid w:val="005F577D"/>
    <w:rsid w:val="006106AF"/>
    <w:rsid w:val="0064198D"/>
    <w:rsid w:val="006764AC"/>
    <w:rsid w:val="00695504"/>
    <w:rsid w:val="006A0247"/>
    <w:rsid w:val="006A4790"/>
    <w:rsid w:val="006B0913"/>
    <w:rsid w:val="006F1E1E"/>
    <w:rsid w:val="00724BA0"/>
    <w:rsid w:val="007445A3"/>
    <w:rsid w:val="007663C5"/>
    <w:rsid w:val="0079381A"/>
    <w:rsid w:val="00796A3F"/>
    <w:rsid w:val="007A214D"/>
    <w:rsid w:val="007C6344"/>
    <w:rsid w:val="007D7AB5"/>
    <w:rsid w:val="007E2CA5"/>
    <w:rsid w:val="007F3B05"/>
    <w:rsid w:val="00835088"/>
    <w:rsid w:val="009055D5"/>
    <w:rsid w:val="00956B65"/>
    <w:rsid w:val="009665AE"/>
    <w:rsid w:val="00985063"/>
    <w:rsid w:val="009B754E"/>
    <w:rsid w:val="009D6941"/>
    <w:rsid w:val="009F1283"/>
    <w:rsid w:val="00A81AFA"/>
    <w:rsid w:val="00AB2494"/>
    <w:rsid w:val="00AD00A7"/>
    <w:rsid w:val="00AF16DF"/>
    <w:rsid w:val="00B12D96"/>
    <w:rsid w:val="00B239E3"/>
    <w:rsid w:val="00B91C6C"/>
    <w:rsid w:val="00B96DE9"/>
    <w:rsid w:val="00BC1BED"/>
    <w:rsid w:val="00BD05DB"/>
    <w:rsid w:val="00CE0BDD"/>
    <w:rsid w:val="00CF29BB"/>
    <w:rsid w:val="00D409C3"/>
    <w:rsid w:val="00DE2499"/>
    <w:rsid w:val="00E25C46"/>
    <w:rsid w:val="00E86EBA"/>
    <w:rsid w:val="00EA213F"/>
    <w:rsid w:val="00EA760E"/>
    <w:rsid w:val="00EC12D4"/>
    <w:rsid w:val="00EE7EF6"/>
    <w:rsid w:val="00F130FC"/>
    <w:rsid w:val="00F37841"/>
    <w:rsid w:val="00F57D3E"/>
    <w:rsid w:val="00F64404"/>
    <w:rsid w:val="00F8560C"/>
    <w:rsid w:val="042A3074"/>
    <w:rsid w:val="30329FA6"/>
    <w:rsid w:val="55C2D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C9D9D8"/>
  <w15:chartTrackingRefBased/>
  <w15:docId w15:val="{849AD90F-1CBC-47F8-9673-C7B431352E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C3AD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06C917B05204C4EB080862AE7826DF3" ma:contentTypeVersion="8" ma:contentTypeDescription="Create a new document." ma:contentTypeScope="" ma:versionID="678582f499ba6ee42b46f7d39baf09c9">
  <xsd:schema xmlns:xsd="http://www.w3.org/2001/XMLSchema" xmlns:xs="http://www.w3.org/2001/XMLSchema" xmlns:p="http://schemas.microsoft.com/office/2006/metadata/properties" xmlns:ns2="d8a56e7f-1bef-4859-9343-eaa61560736d" xmlns:ns3="6cd8b532-e4c1-436a-8edb-6bd2c8a221c2" targetNamespace="http://schemas.microsoft.com/office/2006/metadata/properties" ma:root="true" ma:fieldsID="0871c447d8a59afcd907775da268c790" ns2:_="" ns3:_="">
    <xsd:import namespace="d8a56e7f-1bef-4859-9343-eaa61560736d"/>
    <xsd:import namespace="6cd8b532-e4c1-436a-8edb-6bd2c8a221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8a56e7f-1bef-4859-9343-eaa6156073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MediaService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d8b532-e4c1-436a-8edb-6bd2c8a221c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E21041-2C2A-4AEB-80C0-74FB69DEB6C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8a56e7f-1bef-4859-9343-eaa61560736d"/>
    <ds:schemaRef ds:uri="6cd8b532-e4c1-436a-8edb-6bd2c8a221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F7CE47-F6A4-4EFA-8E43-E49A26031A2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933B6C2-AA3F-464B-AF97-4FDFC21CFF6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091342F-F60D-4236-B548-275E9FD59E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552</Words>
  <Characters>3151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Alexander</dc:creator>
  <cp:keywords/>
  <dc:description/>
  <cp:lastModifiedBy>Steve Alexander</cp:lastModifiedBy>
  <cp:revision>2</cp:revision>
  <cp:lastPrinted>2018-11-22T15:21:00Z</cp:lastPrinted>
  <dcterms:created xsi:type="dcterms:W3CDTF">2022-03-29T08:18:00Z</dcterms:created>
  <dcterms:modified xsi:type="dcterms:W3CDTF">2022-03-29T08:18:00Z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0x010100206C917B05204C4EB080862AE7826DF3</vt:lpwstr>
  </property>
</Properties>
</file>